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Регулирование общественных отношений в области здравоохранения, в том числе, при оказании медицинской помощи и услуг в сфере фармацевтической деятельности, является важнейшим направлением политики любого государства.</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В условиях пандемии новой коронавирусной инфекции COVID-19, когда государственные медицинские учреждения, осуществляющие медицинскую помощь по полису обязательного медицинского страхования, в силу большой загруженности не могут оказать каждому пациенту надлежащую медицинскую помощь, широко развивается сеть платных негосударственных медицинских учреждений. Кроме того, наблюдается рост обращений пациентов к представителям народной и нетрадиционной медицины, а также к частнопрактикующим фармацевтам.</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Медицинская помощь и фармацевтическая деятельность должны быть качественными (квалифицированными), т.е. соответствовать стандартам, утвержденным уполномоченным органом и установленным на основе современного уровня развития медицинской науки и технологии.</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Лица, занимающиеся медицинской и фармацевтической деятельностью без соответствующей профессиональной квалификации, нередко оказывают услуги, которые могут отрицательно повлиять на состояние здоровья граждан, обратившихся к ним с целью получения данного вида услуг.</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В соответствии с действующим законодательством медицинская лицензия необходима любой организации данного профиля: больницам, клиникам, диагностическим лабораториям, санаторно-профилактическим учреждениям, центрам, кабинетам и т.д.</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Действия лица, занимающегося частной медицинской практикой или частной фармацевтической деятельностью без соответствующего специального разрешения (лицензии), могут повлечь уголовную ответственность.</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Так, если действия лица, занимающегося частной медицинской практикой или частной фармацевтической деятельностью без соответствующего специального разрешения (лицензии), повлекли по неосторожности причинение вреда здоровью  пациента (легкого, средней тяжести или тяжкого), то виновное лицо   может быть привлечено к уголовной ответственности по ч. 1  ст. 235 УК РФ, санкция которой предусматривает наказание  в виде  штрафа в размере до 120 000  руб., ограничения свободы, принудительных работ или лишения свободы до 3 лет.</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t>Однако если в результате указанных действий по неосторожности наступила смерть человека, деяние подлежит квалификации по ч. 2 ст. 235 УК РФ и предусматривает наказание в виде принудительных работ или лишения свободы на срок до 5 лет.</w:t>
      </w:r>
    </w:p>
    <w:p w:rsidR="0065122B" w:rsidRDefault="0065122B" w:rsidP="0065122B">
      <w:pPr>
        <w:pStyle w:val="a3"/>
        <w:shd w:val="clear" w:color="auto" w:fill="FFFFFF"/>
        <w:spacing w:before="0" w:beforeAutospacing="0"/>
        <w:jc w:val="both"/>
        <w:rPr>
          <w:rFonts w:ascii="Roboto" w:hAnsi="Roboto"/>
          <w:color w:val="333333"/>
        </w:rPr>
      </w:pPr>
      <w:r>
        <w:rPr>
          <w:color w:val="333333"/>
          <w:sz w:val="28"/>
          <w:szCs w:val="28"/>
        </w:rPr>
        <w:lastRenderedPageBreak/>
        <w:t>В том случае, когда осуществление частной медицинской практики или частной фармацевтической деятельности без соответствующего специального разрешения (лицензии) не повлекло последствий, указанных в ст. 235 УК РФ, но при этом был причинен крупный ущерб гражданам, организациям или государству либо извлечен доход в крупном размере или в особо крупном размере, действия лица следует квалифицировать  как незаконное предпринимательство.</w:t>
      </w:r>
    </w:p>
    <w:p w:rsidR="00BA6F51" w:rsidRDefault="00BA6F51">
      <w:bookmarkStart w:id="0" w:name="_GoBack"/>
      <w:bookmarkEnd w:id="0"/>
    </w:p>
    <w:sectPr w:rsidR="00BA6F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4EE"/>
    <w:rsid w:val="003E24EE"/>
    <w:rsid w:val="0065122B"/>
    <w:rsid w:val="00BA6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45C7C2-C264-4080-A285-3E6CF968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122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59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Zindermann</dc:creator>
  <cp:keywords/>
  <dc:description/>
  <cp:lastModifiedBy>Zindermann</cp:lastModifiedBy>
  <cp:revision>2</cp:revision>
  <dcterms:created xsi:type="dcterms:W3CDTF">2022-01-19T03:11:00Z</dcterms:created>
  <dcterms:modified xsi:type="dcterms:W3CDTF">2022-01-19T03:12:00Z</dcterms:modified>
</cp:coreProperties>
</file>